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935AD" w:rsidRPr="00D86AA7" w:rsidRDefault="00F935AD" w:rsidP="00F935AD">
      <w:pPr>
        <w:tabs>
          <w:tab w:val="center" w:pos="4536"/>
          <w:tab w:val="right" w:pos="9072"/>
        </w:tabs>
        <w:rPr>
          <w:rFonts w:ascii="Arial" w:eastAsia="Batang" w:hAnsi="Arial" w:cs="Arial"/>
          <w:b/>
          <w:bCs/>
          <w:lang w:val="en-GB"/>
        </w:rPr>
      </w:pPr>
      <w:r w:rsidRPr="00D86AA7">
        <w:rPr>
          <w:rFonts w:ascii="Arial" w:eastAsia="Batang" w:hAnsi="Arial" w:cs="Arial"/>
          <w:b/>
          <w:bCs/>
          <w:lang w:val="en-GB"/>
        </w:rPr>
        <w:t>3GPP TSG RAN WG1 #11</w:t>
      </w:r>
      <w:r>
        <w:rPr>
          <w:rFonts w:ascii="Arial" w:eastAsia="Batang" w:hAnsi="Arial" w:cs="Arial"/>
          <w:b/>
          <w:bCs/>
          <w:lang w:val="en-GB"/>
        </w:rPr>
        <w:t>1</w:t>
      </w:r>
      <w:r w:rsidRPr="00D86AA7">
        <w:rPr>
          <w:rFonts w:ascii="Arial" w:eastAsia="Batang" w:hAnsi="Arial" w:cs="Arial"/>
          <w:b/>
          <w:bCs/>
          <w:lang w:val="en-GB"/>
        </w:rPr>
        <w:tab/>
      </w:r>
      <w:r>
        <w:rPr>
          <w:rFonts w:ascii="Arial" w:eastAsia="Batang" w:hAnsi="Arial" w:cs="Arial"/>
          <w:b/>
          <w:bCs/>
          <w:lang w:val="en-GB"/>
        </w:rPr>
        <w:tab/>
      </w:r>
      <w:r w:rsidRPr="00D86AA7">
        <w:rPr>
          <w:rFonts w:ascii="Arial" w:eastAsia="Batang" w:hAnsi="Arial" w:cs="Arial"/>
          <w:b/>
          <w:bCs/>
          <w:lang w:val="en-GB"/>
        </w:rPr>
        <w:t>R1-22</w:t>
      </w:r>
      <w:r w:rsidR="0074495C">
        <w:rPr>
          <w:rFonts w:ascii="Arial" w:eastAsia="Batang" w:hAnsi="Arial" w:cs="Arial"/>
          <w:b/>
          <w:bCs/>
          <w:lang w:val="en-GB"/>
        </w:rPr>
        <w:t>11131</w:t>
      </w:r>
    </w:p>
    <w:p w:rsidR="00F935AD" w:rsidRPr="008C79C5" w:rsidRDefault="00F935AD" w:rsidP="00F935AD">
      <w:pPr>
        <w:tabs>
          <w:tab w:val="center" w:pos="4536"/>
          <w:tab w:val="right" w:pos="9072"/>
        </w:tabs>
        <w:rPr>
          <w:rFonts w:ascii="Arial" w:eastAsia="Batang" w:hAnsi="Arial" w:cs="Arial"/>
          <w:b/>
          <w:bCs/>
          <w:lang w:val="en-GB"/>
        </w:rPr>
      </w:pPr>
      <w:r w:rsidRPr="008C79C5">
        <w:rPr>
          <w:rFonts w:ascii="Arial" w:eastAsia="Batang" w:hAnsi="Arial" w:cs="Arial"/>
          <w:b/>
          <w:bCs/>
          <w:lang w:val="en-GB"/>
        </w:rPr>
        <w:t>Toulouse, France, November 14</w:t>
      </w:r>
      <w:r w:rsidRPr="008C79C5">
        <w:rPr>
          <w:rFonts w:ascii="Arial" w:eastAsia="Batang" w:hAnsi="Arial" w:cs="Arial"/>
          <w:b/>
          <w:bCs/>
          <w:vertAlign w:val="superscript"/>
          <w:lang w:val="en-GB"/>
        </w:rPr>
        <w:t>th</w:t>
      </w:r>
      <w:r w:rsidRPr="008C79C5">
        <w:rPr>
          <w:rFonts w:ascii="Arial" w:eastAsia="Batang" w:hAnsi="Arial" w:cs="Arial"/>
          <w:b/>
          <w:bCs/>
          <w:lang w:val="en-GB"/>
        </w:rPr>
        <w:t xml:space="preserve"> – 18</w:t>
      </w:r>
      <w:r w:rsidRPr="008C79C5">
        <w:rPr>
          <w:rFonts w:ascii="Arial" w:eastAsia="Batang" w:hAnsi="Arial" w:cs="Arial"/>
          <w:b/>
          <w:bCs/>
          <w:vertAlign w:val="superscript"/>
          <w:lang w:val="en-GB"/>
        </w:rPr>
        <w:t>th</w:t>
      </w:r>
      <w:r w:rsidRPr="008C79C5">
        <w:rPr>
          <w:rFonts w:ascii="Arial" w:eastAsia="Batang" w:hAnsi="Arial" w:cs="Arial"/>
          <w:b/>
          <w:bCs/>
          <w:lang w:val="en-GB"/>
        </w:rPr>
        <w:t>, 2022</w:t>
      </w:r>
    </w:p>
    <w:p w:rsidR="00557396" w:rsidRPr="00253282"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w:t>
      </w:r>
      <w:r w:rsidR="00105DE0">
        <w:rPr>
          <w:sz w:val="22"/>
          <w:szCs w:val="22"/>
        </w:rPr>
        <w:t>12</w:t>
      </w:r>
      <w:r w:rsidR="00DC01E8">
        <w:rPr>
          <w:sz w:val="22"/>
          <w:szCs w:val="22"/>
        </w:rPr>
        <w:t>.</w:t>
      </w:r>
      <w:r w:rsidR="00105DE0">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CC1F22">
        <w:rPr>
          <w:sz w:val="22"/>
          <w:szCs w:val="22"/>
        </w:rPr>
        <w:t>TA</w:t>
      </w:r>
      <w:r w:rsidR="00105DE0">
        <w:rPr>
          <w:sz w:val="22"/>
          <w:szCs w:val="22"/>
        </w:rPr>
        <w:t xml:space="preserve"> Management for NR Mobility</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2D43AE" w:rsidP="00557396">
      <w:pPr>
        <w:pStyle w:val="0Maintext"/>
        <w:spacing w:after="120" w:afterAutospacing="0" w:line="240" w:lineRule="auto"/>
        <w:ind w:firstLine="0"/>
        <w:rPr>
          <w:rFonts w:eastAsiaTheme="minorEastAsia"/>
          <w:lang w:val="en-US" w:eastAsia="zh-CN"/>
        </w:rPr>
      </w:pPr>
      <w:r>
        <w:rPr>
          <w:lang w:val="en-US"/>
        </w:rPr>
        <w:t>In RAN1 #110b, the following agreements on TA management for NR mobility were achieved</w:t>
      </w:r>
      <w:r w:rsidR="00105DE0">
        <w:rPr>
          <w:lang w:val="en-US"/>
        </w:rPr>
        <w:t>.</w:t>
      </w:r>
    </w:p>
    <w:tbl>
      <w:tblPr>
        <w:tblStyle w:val="TableGrid"/>
        <w:tblW w:w="0" w:type="auto"/>
        <w:tblLook w:val="04A0" w:firstRow="1" w:lastRow="0" w:firstColumn="1" w:lastColumn="0" w:noHBand="0" w:noVBand="1"/>
      </w:tblPr>
      <w:tblGrid>
        <w:gridCol w:w="9010"/>
      </w:tblGrid>
      <w:tr w:rsidR="00557396" w:rsidRPr="002D43AE" w:rsidTr="00557396">
        <w:tc>
          <w:tcPr>
            <w:tcW w:w="9010" w:type="dxa"/>
          </w:tcPr>
          <w:p w:rsidR="002D43AE" w:rsidRPr="002D43AE" w:rsidRDefault="002D43AE" w:rsidP="002D43AE">
            <w:pPr>
              <w:shd w:val="clear" w:color="auto" w:fill="FFFFFF"/>
              <w:rPr>
                <w:rFonts w:eastAsia="MS PGothic"/>
                <w:color w:val="242424"/>
                <w:sz w:val="20"/>
                <w:szCs w:val="20"/>
                <w:highlight w:val="green"/>
                <w:shd w:val="clear" w:color="auto" w:fill="FFFFFF"/>
              </w:rPr>
            </w:pPr>
            <w:r w:rsidRPr="002D43AE">
              <w:rPr>
                <w:rFonts w:eastAsia="MS PGothic"/>
                <w:b/>
                <w:bCs/>
                <w:color w:val="000000"/>
                <w:sz w:val="20"/>
                <w:szCs w:val="20"/>
                <w:highlight w:val="green"/>
                <w:shd w:val="clear" w:color="auto" w:fill="FFFF00"/>
              </w:rPr>
              <w:t>Agreement</w:t>
            </w:r>
            <w:r w:rsidRPr="002D43AE">
              <w:rPr>
                <w:rFonts w:eastAsia="MS PGothic"/>
                <w:color w:val="242424"/>
                <w:sz w:val="20"/>
                <w:szCs w:val="20"/>
                <w:highlight w:val="green"/>
                <w:shd w:val="clear" w:color="auto" w:fill="FFFFFF"/>
              </w:rPr>
              <w:t> </w:t>
            </w:r>
          </w:p>
          <w:p w:rsidR="002D43AE" w:rsidRPr="002D43AE" w:rsidRDefault="002D43AE" w:rsidP="002D43AE">
            <w:pPr>
              <w:shd w:val="clear" w:color="auto" w:fill="FFFFFF"/>
              <w:rPr>
                <w:rFonts w:eastAsia="MS PGothic"/>
                <w:color w:val="000000"/>
                <w:sz w:val="20"/>
                <w:szCs w:val="20"/>
              </w:rPr>
            </w:pPr>
            <w:r w:rsidRPr="002D43AE">
              <w:rPr>
                <w:rFonts w:eastAsia="MS PGothic"/>
                <w:color w:val="000000"/>
                <w:sz w:val="20"/>
                <w:szCs w:val="20"/>
              </w:rPr>
              <w:t>Support TA acquisition of candidate cell(s) before cell switch command is received in L1/L2 based mobility.</w:t>
            </w:r>
          </w:p>
          <w:p w:rsidR="002D43AE" w:rsidRPr="002D43AE" w:rsidRDefault="002D43AE" w:rsidP="002D43AE">
            <w:pPr>
              <w:numPr>
                <w:ilvl w:val="0"/>
                <w:numId w:val="35"/>
              </w:numPr>
              <w:shd w:val="clear" w:color="auto" w:fill="FFFFFF"/>
              <w:rPr>
                <w:rFonts w:eastAsia="MS PGothic"/>
                <w:sz w:val="20"/>
                <w:szCs w:val="20"/>
              </w:rPr>
            </w:pPr>
            <w:r w:rsidRPr="002D43AE">
              <w:rPr>
                <w:rFonts w:eastAsia="MS PGothic"/>
                <w:sz w:val="20"/>
                <w:szCs w:val="20"/>
              </w:rPr>
              <w:t>FFS: whether this can be applied to candidate cell when it is deactivated SCell (if defined in RAN2)</w:t>
            </w:r>
          </w:p>
          <w:p w:rsidR="002D43AE" w:rsidRPr="002D43AE" w:rsidRDefault="002D43AE" w:rsidP="002D43AE">
            <w:pPr>
              <w:shd w:val="clear" w:color="auto" w:fill="FFFFFF"/>
              <w:rPr>
                <w:rFonts w:eastAsia="MS PGothic"/>
                <w:color w:val="1F497D"/>
                <w:sz w:val="20"/>
                <w:szCs w:val="20"/>
              </w:rPr>
            </w:pPr>
            <w:r w:rsidRPr="002D43AE">
              <w:rPr>
                <w:rFonts w:eastAsia="MS PGothic"/>
                <w:color w:val="1F497D"/>
                <w:sz w:val="20"/>
                <w:szCs w:val="20"/>
              </w:rPr>
              <w:t> </w:t>
            </w:r>
          </w:p>
          <w:p w:rsidR="002D43AE" w:rsidRPr="002D43AE" w:rsidRDefault="002D43AE" w:rsidP="002D43AE">
            <w:pPr>
              <w:shd w:val="clear" w:color="auto" w:fill="FFFFFF"/>
              <w:rPr>
                <w:rFonts w:eastAsia="MS PGothic"/>
                <w:color w:val="000000"/>
                <w:sz w:val="20"/>
                <w:szCs w:val="20"/>
                <w:highlight w:val="green"/>
              </w:rPr>
            </w:pPr>
            <w:r w:rsidRPr="002D43AE">
              <w:rPr>
                <w:rFonts w:eastAsia="MS PGothic"/>
                <w:b/>
                <w:bCs/>
                <w:color w:val="000000"/>
                <w:sz w:val="20"/>
                <w:szCs w:val="20"/>
                <w:highlight w:val="green"/>
                <w:shd w:val="clear" w:color="auto" w:fill="FFFF00"/>
              </w:rPr>
              <w:t>Agreement</w:t>
            </w:r>
          </w:p>
          <w:p w:rsidR="002D43AE" w:rsidRPr="002D43AE" w:rsidRDefault="002D43AE" w:rsidP="002D43AE">
            <w:pPr>
              <w:shd w:val="clear" w:color="auto" w:fill="FFFFFF"/>
              <w:rPr>
                <w:rFonts w:eastAsia="MS PGothic"/>
                <w:color w:val="000000"/>
                <w:sz w:val="20"/>
                <w:szCs w:val="20"/>
              </w:rPr>
            </w:pPr>
            <w:r w:rsidRPr="002D43AE">
              <w:rPr>
                <w:rFonts w:eastAsia="MS PGothic"/>
                <w:color w:val="000000"/>
                <w:sz w:val="20"/>
                <w:szCs w:val="20"/>
              </w:rPr>
              <w:t>On mechanism to acquire TA of the candidate cells, the following solutions can be further studied:</w:t>
            </w:r>
          </w:p>
          <w:p w:rsidR="002D43AE" w:rsidRPr="002D43AE" w:rsidRDefault="002D43AE" w:rsidP="002D43AE">
            <w:pPr>
              <w:shd w:val="clear" w:color="auto" w:fill="FFFFFF"/>
              <w:spacing w:before="100" w:beforeAutospacing="1" w:line="252" w:lineRule="atLeast"/>
              <w:ind w:left="420" w:hanging="420"/>
              <w:rPr>
                <w:rFonts w:eastAsia="SimSun"/>
                <w:color w:val="000000"/>
                <w:sz w:val="20"/>
                <w:szCs w:val="20"/>
              </w:rPr>
            </w:pPr>
            <w:r w:rsidRPr="002D43AE">
              <w:rPr>
                <w:rFonts w:eastAsia="SimSun"/>
                <w:color w:val="000000"/>
                <w:sz w:val="20"/>
                <w:szCs w:val="20"/>
              </w:rPr>
              <w:t>•         RACH-based solutions</w:t>
            </w:r>
          </w:p>
          <w:p w:rsidR="002D43AE" w:rsidRPr="002D43AE" w:rsidRDefault="002D43AE" w:rsidP="002D43AE">
            <w:pPr>
              <w:shd w:val="clear" w:color="auto" w:fill="FFFFFF"/>
              <w:ind w:firstLine="660"/>
              <w:rPr>
                <w:rFonts w:eastAsia="MS PGothic"/>
                <w:color w:val="000000"/>
                <w:sz w:val="20"/>
                <w:szCs w:val="20"/>
              </w:rPr>
            </w:pPr>
            <w:r w:rsidRPr="002D43AE">
              <w:rPr>
                <w:rFonts w:eastAsia="MS PGothic"/>
                <w:color w:val="000000"/>
                <w:sz w:val="20"/>
                <w:szCs w:val="20"/>
              </w:rPr>
              <w:t xml:space="preserve">e.g., PDCCH ordered RACH, UE-triggered RACH, higher layer triggered RACH from NW other than L3 HO </w:t>
            </w:r>
            <w:proofErr w:type="spellStart"/>
            <w:r w:rsidRPr="002D43AE">
              <w:rPr>
                <w:rFonts w:eastAsia="MS PGothic"/>
                <w:color w:val="000000"/>
                <w:sz w:val="20"/>
                <w:szCs w:val="20"/>
              </w:rPr>
              <w:t>cmd</w:t>
            </w:r>
            <w:proofErr w:type="spellEnd"/>
          </w:p>
          <w:p w:rsidR="002D43AE" w:rsidRPr="002D43AE" w:rsidRDefault="002D43AE" w:rsidP="002D43AE">
            <w:pPr>
              <w:shd w:val="clear" w:color="auto" w:fill="FFFFFF"/>
              <w:spacing w:before="100" w:beforeAutospacing="1" w:line="252" w:lineRule="atLeast"/>
              <w:ind w:left="420" w:hanging="420"/>
              <w:rPr>
                <w:rFonts w:eastAsia="SimSun"/>
                <w:color w:val="000000"/>
                <w:sz w:val="20"/>
                <w:szCs w:val="20"/>
              </w:rPr>
            </w:pPr>
            <w:r w:rsidRPr="002D43AE">
              <w:rPr>
                <w:rFonts w:eastAsia="SimSun"/>
                <w:color w:val="000000"/>
                <w:sz w:val="20"/>
                <w:szCs w:val="20"/>
              </w:rPr>
              <w:t>•         RACH-less solutions</w:t>
            </w:r>
          </w:p>
          <w:p w:rsidR="002D43AE" w:rsidRPr="002D43AE" w:rsidRDefault="002D43AE" w:rsidP="002D43AE">
            <w:pPr>
              <w:shd w:val="clear" w:color="auto" w:fill="FFFFFF"/>
              <w:ind w:firstLine="660"/>
              <w:rPr>
                <w:rFonts w:eastAsia="MS PGothic"/>
                <w:color w:val="000000"/>
                <w:sz w:val="20"/>
                <w:szCs w:val="20"/>
              </w:rPr>
            </w:pPr>
            <w:r w:rsidRPr="002D43AE">
              <w:rPr>
                <w:rFonts w:eastAsia="MS PGothic"/>
                <w:color w:val="000000"/>
                <w:sz w:val="20"/>
                <w:szCs w:val="20"/>
              </w:rPr>
              <w:t>e.g., SRS based TA acquisition, Rx timing difference based, RACH-less mechanism as in LTE, UE based TA measurement (including UE based TA measurement with one TAC from serving cell)</w:t>
            </w:r>
          </w:p>
          <w:p w:rsidR="002D43AE" w:rsidRPr="002D43AE" w:rsidRDefault="002D43AE" w:rsidP="002D43AE">
            <w:pPr>
              <w:shd w:val="clear" w:color="auto" w:fill="FFFFFF"/>
              <w:rPr>
                <w:rFonts w:eastAsia="MS PGothic"/>
                <w:color w:val="000000"/>
                <w:sz w:val="20"/>
                <w:szCs w:val="20"/>
              </w:rPr>
            </w:pPr>
            <w:r w:rsidRPr="002D43AE">
              <w:rPr>
                <w:rFonts w:eastAsia="MS PGothic"/>
                <w:color w:val="1F497D"/>
                <w:sz w:val="20"/>
                <w:szCs w:val="20"/>
              </w:rPr>
              <w:t> </w:t>
            </w:r>
          </w:p>
          <w:p w:rsidR="002D43AE" w:rsidRPr="002D43AE" w:rsidRDefault="002D43AE" w:rsidP="002D43AE">
            <w:pPr>
              <w:shd w:val="clear" w:color="auto" w:fill="FFFFFF"/>
              <w:rPr>
                <w:rFonts w:eastAsia="MS PGothic"/>
                <w:color w:val="000000"/>
                <w:sz w:val="20"/>
                <w:szCs w:val="20"/>
                <w:highlight w:val="green"/>
              </w:rPr>
            </w:pPr>
            <w:r w:rsidRPr="002D43AE">
              <w:rPr>
                <w:rFonts w:eastAsia="MS PGothic"/>
                <w:color w:val="000000"/>
                <w:sz w:val="20"/>
                <w:szCs w:val="20"/>
                <w:highlight w:val="green"/>
              </w:rPr>
              <w:t>Agreement</w:t>
            </w:r>
          </w:p>
          <w:p w:rsidR="002D43AE" w:rsidRPr="002D43AE" w:rsidRDefault="002D43AE" w:rsidP="002D43AE">
            <w:pPr>
              <w:shd w:val="clear" w:color="auto" w:fill="FFFFFF"/>
              <w:rPr>
                <w:rFonts w:eastAsia="MS PGothic"/>
                <w:color w:val="000000"/>
                <w:sz w:val="20"/>
                <w:szCs w:val="20"/>
              </w:rPr>
            </w:pPr>
            <w:r w:rsidRPr="002D43AE">
              <w:rPr>
                <w:rFonts w:eastAsia="MS PGothic"/>
                <w:color w:val="000000"/>
                <w:sz w:val="20"/>
                <w:szCs w:val="20"/>
              </w:rPr>
              <w:t>For TA acquisition of a candidate cell before cell switch command is received, study at least the following alternatives of associating TA/TAG to candidate cell:</w:t>
            </w:r>
          </w:p>
          <w:p w:rsidR="002D43AE" w:rsidRPr="002D43AE" w:rsidRDefault="002D43AE" w:rsidP="002D43AE">
            <w:pPr>
              <w:numPr>
                <w:ilvl w:val="0"/>
                <w:numId w:val="37"/>
              </w:numPr>
              <w:shd w:val="clear" w:color="auto" w:fill="FFFFFF"/>
              <w:spacing w:line="252" w:lineRule="atLeast"/>
              <w:rPr>
                <w:rFonts w:eastAsia="MS PGothic"/>
                <w:color w:val="000000"/>
                <w:sz w:val="20"/>
                <w:szCs w:val="20"/>
              </w:rPr>
            </w:pPr>
            <w:r w:rsidRPr="002D43AE">
              <w:rPr>
                <w:rFonts w:eastAsia="MS PGothic"/>
                <w:color w:val="000000"/>
                <w:sz w:val="20"/>
                <w:szCs w:val="20"/>
              </w:rPr>
              <w:t>Alt1: Associate TA/TAG and candidate cell implicitly, e.g.,</w:t>
            </w:r>
          </w:p>
          <w:p w:rsidR="002D43AE" w:rsidRPr="002D43AE" w:rsidRDefault="002D43AE" w:rsidP="002D43AE">
            <w:pPr>
              <w:numPr>
                <w:ilvl w:val="0"/>
                <w:numId w:val="36"/>
              </w:numPr>
              <w:shd w:val="clear" w:color="auto" w:fill="FFFFFF"/>
              <w:rPr>
                <w:rFonts w:eastAsia="MS PGothic"/>
                <w:color w:val="000000"/>
                <w:sz w:val="20"/>
                <w:szCs w:val="20"/>
              </w:rPr>
            </w:pPr>
            <w:r w:rsidRPr="002D43AE">
              <w:rPr>
                <w:rFonts w:eastAsia="MS PGothic"/>
                <w:color w:val="000000"/>
                <w:sz w:val="20"/>
                <w:szCs w:val="20"/>
              </w:rPr>
              <w:t>the association between TA/TAG and TCI states can be configured</w:t>
            </w:r>
          </w:p>
          <w:p w:rsidR="002D43AE" w:rsidRPr="002D43AE" w:rsidRDefault="002D43AE" w:rsidP="002D43AE">
            <w:pPr>
              <w:numPr>
                <w:ilvl w:val="0"/>
                <w:numId w:val="37"/>
              </w:numPr>
              <w:shd w:val="clear" w:color="auto" w:fill="FFFFFF"/>
              <w:spacing w:line="252" w:lineRule="atLeast"/>
              <w:rPr>
                <w:rFonts w:eastAsia="MS PGothic"/>
                <w:color w:val="000000"/>
                <w:sz w:val="20"/>
                <w:szCs w:val="20"/>
              </w:rPr>
            </w:pPr>
            <w:r w:rsidRPr="002D43AE">
              <w:rPr>
                <w:rFonts w:eastAsia="MS PGothic"/>
                <w:color w:val="000000"/>
                <w:sz w:val="20"/>
                <w:szCs w:val="20"/>
              </w:rPr>
              <w:t>Alt2: Associate TA/TAG and candidate cell explicitly, e.g.,</w:t>
            </w:r>
          </w:p>
          <w:p w:rsidR="002D43AE" w:rsidRPr="002D43AE" w:rsidRDefault="002D43AE" w:rsidP="002D43AE">
            <w:pPr>
              <w:numPr>
                <w:ilvl w:val="0"/>
                <w:numId w:val="36"/>
              </w:numPr>
              <w:shd w:val="clear" w:color="auto" w:fill="FFFFFF"/>
              <w:rPr>
                <w:rFonts w:eastAsia="MS PGothic"/>
                <w:color w:val="000000"/>
                <w:sz w:val="20"/>
                <w:szCs w:val="20"/>
              </w:rPr>
            </w:pPr>
            <w:r w:rsidRPr="002D43AE">
              <w:rPr>
                <w:rFonts w:eastAsia="MS PGothic"/>
                <w:color w:val="000000"/>
                <w:sz w:val="20"/>
                <w:szCs w:val="20"/>
              </w:rPr>
              <w:t>the association is provided as a part of candidate cell(s) configuration</w:t>
            </w:r>
          </w:p>
          <w:p w:rsidR="002D43AE" w:rsidRPr="002D43AE" w:rsidRDefault="002D43AE" w:rsidP="002D43AE">
            <w:pPr>
              <w:numPr>
                <w:ilvl w:val="0"/>
                <w:numId w:val="36"/>
              </w:numPr>
              <w:shd w:val="clear" w:color="auto" w:fill="FFFFFF"/>
              <w:rPr>
                <w:rFonts w:eastAsia="MS PGothic"/>
                <w:color w:val="000000"/>
                <w:sz w:val="20"/>
                <w:szCs w:val="20"/>
              </w:rPr>
            </w:pPr>
            <w:r w:rsidRPr="002D43AE">
              <w:rPr>
                <w:rFonts w:eastAsia="MS PGothic"/>
                <w:color w:val="000000"/>
                <w:sz w:val="20"/>
                <w:szCs w:val="20"/>
              </w:rPr>
              <w:t>the association between TA/TAG and SSB(s)/TRS(s) is provided as a part of candidate cell(s) configuration</w:t>
            </w:r>
          </w:p>
          <w:p w:rsidR="00253282" w:rsidRPr="002D43AE" w:rsidRDefault="00253282" w:rsidP="00253282">
            <w:pPr>
              <w:rPr>
                <w:sz w:val="20"/>
                <w:szCs w:val="20"/>
              </w:rPr>
            </w:pPr>
          </w:p>
          <w:p w:rsidR="00557396" w:rsidRPr="002D43AE" w:rsidRDefault="00557396" w:rsidP="00906A9A">
            <w:pPr>
              <w:shd w:val="clear" w:color="auto" w:fill="FFFFFF"/>
              <w:contextualSpacing/>
              <w:rPr>
                <w:sz w:val="20"/>
                <w:szCs w:val="20"/>
              </w:rPr>
            </w:pPr>
          </w:p>
        </w:tc>
      </w:tr>
    </w:tbl>
    <w:p w:rsidR="00557396" w:rsidRDefault="00557396" w:rsidP="00557396">
      <w:pPr>
        <w:pStyle w:val="0Maintext"/>
        <w:spacing w:after="120" w:afterAutospacing="0" w:line="240" w:lineRule="auto"/>
        <w:ind w:firstLine="0"/>
        <w:rPr>
          <w:lang w:val="en-US"/>
        </w:rPr>
      </w:pPr>
    </w:p>
    <w:p w:rsidR="00557396" w:rsidRDefault="00557396" w:rsidP="00557396">
      <w:pPr>
        <w:pStyle w:val="0Maintext"/>
        <w:spacing w:after="120" w:afterAutospacing="0" w:line="240" w:lineRule="auto"/>
        <w:ind w:firstLine="0"/>
        <w:rPr>
          <w:lang w:val="en-US"/>
        </w:rPr>
      </w:pPr>
      <w:r>
        <w:rPr>
          <w:lang w:val="en-US"/>
        </w:rPr>
        <w:t>In this contribution, we provide some discussion</w:t>
      </w:r>
      <w:r w:rsidR="00E56179">
        <w:rPr>
          <w:lang w:val="en-US"/>
        </w:rPr>
        <w:t>s</w:t>
      </w:r>
      <w:r>
        <w:rPr>
          <w:lang w:val="en-US"/>
        </w:rPr>
        <w:t xml:space="preserve"> on </w:t>
      </w:r>
      <w:r w:rsidR="00CC1F22">
        <w:rPr>
          <w:lang w:val="en-US"/>
        </w:rPr>
        <w:t>TA management</w:t>
      </w:r>
      <w:r w:rsidR="00105DE0">
        <w:rPr>
          <w:lang w:val="en-US"/>
        </w:rPr>
        <w:t xml:space="preserve"> </w:t>
      </w:r>
      <w:r w:rsidR="00CC1F22">
        <w:rPr>
          <w:lang w:val="en-US"/>
        </w:rPr>
        <w:t>for Rel-18 mobility enhancement.</w:t>
      </w:r>
    </w:p>
    <w:p w:rsidR="001F1EBF" w:rsidRDefault="00CC1F22" w:rsidP="001F1EBF">
      <w:pPr>
        <w:pStyle w:val="Heading1"/>
      </w:pPr>
      <w:r>
        <w:t>Discussion</w:t>
      </w:r>
    </w:p>
    <w:p w:rsidR="00BD2876" w:rsidRDefault="00C63FD7" w:rsidP="00557396">
      <w:pPr>
        <w:pStyle w:val="0Maintext"/>
        <w:spacing w:after="120" w:afterAutospacing="0" w:line="240" w:lineRule="auto"/>
        <w:ind w:firstLine="0"/>
        <w:rPr>
          <w:lang w:val="en-US"/>
        </w:rPr>
      </w:pPr>
      <w:r>
        <w:rPr>
          <w:lang w:val="en-US"/>
        </w:rPr>
        <w:t xml:space="preserve">In Rel-18 MIMO WI, it is agreed to introduce two TAGs for </w:t>
      </w:r>
      <w:proofErr w:type="spellStart"/>
      <w:r>
        <w:rPr>
          <w:lang w:val="en-US"/>
        </w:rPr>
        <w:t>mTRP</w:t>
      </w:r>
      <w:proofErr w:type="spellEnd"/>
      <w:r>
        <w:rPr>
          <w:lang w:val="en-US"/>
        </w:rPr>
        <w:t xml:space="preserve"> operation. For mobility enhancement, it is different from </w:t>
      </w:r>
      <w:proofErr w:type="spellStart"/>
      <w:r>
        <w:rPr>
          <w:lang w:val="en-US"/>
        </w:rPr>
        <w:t>mTRP</w:t>
      </w:r>
      <w:proofErr w:type="spellEnd"/>
      <w:r>
        <w:rPr>
          <w:lang w:val="en-US"/>
        </w:rPr>
        <w:t xml:space="preserve"> operation, which does not need to mandate the UE to communicate with two cells simultaneously. </w:t>
      </w:r>
      <w:r w:rsidR="00BD2876">
        <w:rPr>
          <w:lang w:val="en-US"/>
        </w:rPr>
        <w:t xml:space="preserve">Thus, it could be unnecessary for a UE to maintain more than 1 TAGs for mobility enhancement. </w:t>
      </w:r>
      <w:r>
        <w:rPr>
          <w:lang w:val="en-US"/>
        </w:rPr>
        <w:t>However, the TA could be different for a UE to transmit uplink signals to different cells, as the propagation delay could be quite different.</w:t>
      </w:r>
      <w:r w:rsidR="00BD2876">
        <w:rPr>
          <w:lang w:val="en-US"/>
        </w:rPr>
        <w:t xml:space="preserve"> When UE starts to communicate with the target cell, it is necessary to apply a proper TA. The TA management for mobility should include two aspects: </w:t>
      </w:r>
    </w:p>
    <w:p w:rsidR="00BD2876" w:rsidRDefault="00BD2876" w:rsidP="00BD2876">
      <w:pPr>
        <w:pStyle w:val="0Maintext"/>
        <w:numPr>
          <w:ilvl w:val="0"/>
          <w:numId w:val="32"/>
        </w:numPr>
        <w:spacing w:after="120" w:afterAutospacing="0" w:line="240" w:lineRule="auto"/>
        <w:rPr>
          <w:lang w:val="en-US"/>
        </w:rPr>
      </w:pPr>
      <w:r>
        <w:rPr>
          <w:lang w:val="en-US"/>
        </w:rPr>
        <w:t>TA measurement for uplink signals to target cell</w:t>
      </w:r>
    </w:p>
    <w:p w:rsidR="00CC1F22" w:rsidRDefault="00BD2876" w:rsidP="00BD2876">
      <w:pPr>
        <w:pStyle w:val="0Maintext"/>
        <w:numPr>
          <w:ilvl w:val="0"/>
          <w:numId w:val="32"/>
        </w:numPr>
        <w:spacing w:after="120" w:afterAutospacing="0" w:line="240" w:lineRule="auto"/>
        <w:rPr>
          <w:lang w:val="en-US"/>
        </w:rPr>
      </w:pPr>
      <w:r>
        <w:rPr>
          <w:lang w:val="en-US"/>
        </w:rPr>
        <w:t xml:space="preserve">TA update for uplink signals to target cell. </w:t>
      </w:r>
    </w:p>
    <w:p w:rsidR="00F970AE" w:rsidRDefault="00F970AE" w:rsidP="00F970AE">
      <w:pPr>
        <w:pStyle w:val="0Maintext"/>
        <w:spacing w:after="120" w:afterAutospacing="0" w:line="240" w:lineRule="auto"/>
        <w:rPr>
          <w:lang w:val="en-US"/>
        </w:rPr>
      </w:pPr>
    </w:p>
    <w:p w:rsidR="00F970AE" w:rsidRPr="00F970AE" w:rsidRDefault="00F970AE" w:rsidP="00F970AE">
      <w:pPr>
        <w:pStyle w:val="0Maintext"/>
        <w:spacing w:after="120" w:afterAutospacing="0" w:line="240" w:lineRule="auto"/>
        <w:ind w:firstLine="0"/>
        <w:rPr>
          <w:b/>
          <w:bCs/>
          <w:i/>
          <w:iCs/>
          <w:lang w:val="en-US"/>
        </w:rPr>
      </w:pPr>
      <w:r w:rsidRPr="00F970AE">
        <w:rPr>
          <w:b/>
          <w:bCs/>
          <w:i/>
          <w:iCs/>
          <w:lang w:val="en-US"/>
        </w:rPr>
        <w:t xml:space="preserve">Proposal 1: TA management for NR mobility </w:t>
      </w:r>
      <w:r w:rsidR="00AE6E81">
        <w:rPr>
          <w:b/>
          <w:bCs/>
          <w:i/>
          <w:iCs/>
          <w:lang w:val="en-US"/>
        </w:rPr>
        <w:t>shall</w:t>
      </w:r>
      <w:r w:rsidRPr="00F970AE">
        <w:rPr>
          <w:b/>
          <w:bCs/>
          <w:i/>
          <w:iCs/>
          <w:lang w:val="en-US"/>
        </w:rPr>
        <w:t xml:space="preserve"> not require more than 2 TAGs.</w:t>
      </w:r>
    </w:p>
    <w:p w:rsidR="002D43AE" w:rsidRPr="002D43AE" w:rsidRDefault="00BD2876" w:rsidP="002D43AE">
      <w:pPr>
        <w:pStyle w:val="Heading2"/>
      </w:pPr>
      <w:r>
        <w:t>TA measurement</w:t>
      </w:r>
    </w:p>
    <w:p w:rsidR="002D43AE" w:rsidRDefault="002D43AE" w:rsidP="002D43AE">
      <w:pPr>
        <w:pStyle w:val="0Maintext"/>
        <w:spacing w:after="120" w:afterAutospacing="0" w:line="240" w:lineRule="auto"/>
        <w:ind w:firstLine="0"/>
        <w:rPr>
          <w:lang w:val="en-US" w:eastAsia="zh-CN"/>
        </w:rPr>
      </w:pPr>
      <w:r w:rsidRPr="002D43AE">
        <w:rPr>
          <w:lang w:val="en-US" w:eastAsia="zh-CN"/>
        </w:rPr>
        <w:t xml:space="preserve">For </w:t>
      </w:r>
      <w:r>
        <w:rPr>
          <w:lang w:val="en-US" w:eastAsia="zh-CN"/>
        </w:rPr>
        <w:t>TA measurement, in RAN1 #110b, the following agreement was achieved.</w:t>
      </w:r>
    </w:p>
    <w:tbl>
      <w:tblPr>
        <w:tblStyle w:val="TableGrid"/>
        <w:tblW w:w="0" w:type="auto"/>
        <w:tblLook w:val="04A0" w:firstRow="1" w:lastRow="0" w:firstColumn="1" w:lastColumn="0" w:noHBand="0" w:noVBand="1"/>
      </w:tblPr>
      <w:tblGrid>
        <w:gridCol w:w="9010"/>
      </w:tblGrid>
      <w:tr w:rsidR="002D43AE" w:rsidTr="00C82C2A">
        <w:tc>
          <w:tcPr>
            <w:tcW w:w="9010" w:type="dxa"/>
          </w:tcPr>
          <w:p w:rsidR="002D43AE" w:rsidRPr="002D43AE" w:rsidRDefault="002D43AE" w:rsidP="00C82C2A">
            <w:pPr>
              <w:shd w:val="clear" w:color="auto" w:fill="FFFFFF"/>
              <w:rPr>
                <w:rFonts w:eastAsia="MS PGothic"/>
                <w:color w:val="000000"/>
                <w:sz w:val="20"/>
                <w:szCs w:val="20"/>
                <w:highlight w:val="green"/>
              </w:rPr>
            </w:pPr>
            <w:r w:rsidRPr="002D43AE">
              <w:rPr>
                <w:rFonts w:eastAsia="MS PGothic"/>
                <w:b/>
                <w:bCs/>
                <w:color w:val="000000"/>
                <w:sz w:val="20"/>
                <w:szCs w:val="20"/>
                <w:highlight w:val="green"/>
                <w:shd w:val="clear" w:color="auto" w:fill="FFFF00"/>
              </w:rPr>
              <w:t>Agreement</w:t>
            </w:r>
          </w:p>
          <w:p w:rsidR="002D43AE" w:rsidRPr="002D43AE" w:rsidRDefault="002D43AE" w:rsidP="00C82C2A">
            <w:pPr>
              <w:shd w:val="clear" w:color="auto" w:fill="FFFFFF"/>
              <w:rPr>
                <w:rFonts w:eastAsia="MS PGothic"/>
                <w:color w:val="000000"/>
                <w:sz w:val="20"/>
                <w:szCs w:val="20"/>
              </w:rPr>
            </w:pPr>
            <w:r w:rsidRPr="002D43AE">
              <w:rPr>
                <w:rFonts w:eastAsia="MS PGothic"/>
                <w:color w:val="000000"/>
                <w:sz w:val="20"/>
                <w:szCs w:val="20"/>
              </w:rPr>
              <w:t>On mechanism to acquire TA of the candidate cells, the following solutions can be further studied:</w:t>
            </w:r>
          </w:p>
          <w:p w:rsidR="002D43AE" w:rsidRPr="002D43AE" w:rsidRDefault="002D43AE" w:rsidP="00C82C2A">
            <w:pPr>
              <w:shd w:val="clear" w:color="auto" w:fill="FFFFFF"/>
              <w:spacing w:before="100" w:beforeAutospacing="1" w:line="252" w:lineRule="atLeast"/>
              <w:ind w:left="420" w:hanging="420"/>
              <w:rPr>
                <w:rFonts w:eastAsia="SimSun"/>
                <w:color w:val="000000"/>
                <w:sz w:val="20"/>
                <w:szCs w:val="20"/>
              </w:rPr>
            </w:pPr>
            <w:r w:rsidRPr="002D43AE">
              <w:rPr>
                <w:rFonts w:eastAsia="SimSun"/>
                <w:color w:val="000000"/>
                <w:sz w:val="20"/>
                <w:szCs w:val="20"/>
              </w:rPr>
              <w:t>•         RACH-based solutions</w:t>
            </w:r>
          </w:p>
          <w:p w:rsidR="002D43AE" w:rsidRPr="002D43AE" w:rsidRDefault="002D43AE" w:rsidP="00C82C2A">
            <w:pPr>
              <w:shd w:val="clear" w:color="auto" w:fill="FFFFFF"/>
              <w:ind w:firstLine="660"/>
              <w:rPr>
                <w:rFonts w:eastAsia="MS PGothic"/>
                <w:color w:val="000000"/>
                <w:sz w:val="20"/>
                <w:szCs w:val="20"/>
              </w:rPr>
            </w:pPr>
            <w:r w:rsidRPr="002D43AE">
              <w:rPr>
                <w:rFonts w:eastAsia="MS PGothic"/>
                <w:color w:val="000000"/>
                <w:sz w:val="20"/>
                <w:szCs w:val="20"/>
              </w:rPr>
              <w:t xml:space="preserve">e.g., PDCCH ordered RACH, UE-triggered RACH, higher layer triggered RACH from NW other than L3 HO </w:t>
            </w:r>
            <w:proofErr w:type="spellStart"/>
            <w:r w:rsidRPr="002D43AE">
              <w:rPr>
                <w:rFonts w:eastAsia="MS PGothic"/>
                <w:color w:val="000000"/>
                <w:sz w:val="20"/>
                <w:szCs w:val="20"/>
              </w:rPr>
              <w:t>cmd</w:t>
            </w:r>
            <w:proofErr w:type="spellEnd"/>
          </w:p>
          <w:p w:rsidR="002D43AE" w:rsidRPr="002D43AE" w:rsidRDefault="002D43AE" w:rsidP="00C82C2A">
            <w:pPr>
              <w:shd w:val="clear" w:color="auto" w:fill="FFFFFF"/>
              <w:spacing w:before="100" w:beforeAutospacing="1" w:line="252" w:lineRule="atLeast"/>
              <w:ind w:left="420" w:hanging="420"/>
              <w:rPr>
                <w:rFonts w:eastAsia="SimSun"/>
                <w:color w:val="000000"/>
                <w:sz w:val="20"/>
                <w:szCs w:val="20"/>
              </w:rPr>
            </w:pPr>
            <w:r w:rsidRPr="002D43AE">
              <w:rPr>
                <w:rFonts w:eastAsia="SimSun"/>
                <w:color w:val="000000"/>
                <w:sz w:val="20"/>
                <w:szCs w:val="20"/>
              </w:rPr>
              <w:t>•         RACH-less solutions</w:t>
            </w:r>
          </w:p>
          <w:p w:rsidR="002D43AE" w:rsidRPr="002D43AE" w:rsidRDefault="002D43AE" w:rsidP="00C82C2A">
            <w:pPr>
              <w:shd w:val="clear" w:color="auto" w:fill="FFFFFF"/>
              <w:ind w:firstLine="660"/>
              <w:rPr>
                <w:rFonts w:eastAsia="MS PGothic"/>
                <w:color w:val="000000"/>
                <w:sz w:val="20"/>
                <w:szCs w:val="20"/>
              </w:rPr>
            </w:pPr>
            <w:r w:rsidRPr="002D43AE">
              <w:rPr>
                <w:rFonts w:eastAsia="MS PGothic"/>
                <w:color w:val="000000"/>
                <w:sz w:val="20"/>
                <w:szCs w:val="20"/>
              </w:rPr>
              <w:t>e.g., SRS based TA acquisition, Rx timing difference based, RACH-less mechanism as in LTE, UE based TA measurement (including UE based TA measurement with one TAC from serving cell)</w:t>
            </w:r>
          </w:p>
          <w:p w:rsidR="002D43AE" w:rsidRDefault="002D43AE" w:rsidP="00C82C2A">
            <w:pPr>
              <w:pStyle w:val="0Maintext"/>
              <w:spacing w:after="120" w:afterAutospacing="0" w:line="240" w:lineRule="auto"/>
              <w:ind w:firstLine="0"/>
              <w:rPr>
                <w:lang w:val="en-US" w:eastAsia="zh-CN"/>
              </w:rPr>
            </w:pPr>
          </w:p>
        </w:tc>
      </w:tr>
    </w:tbl>
    <w:p w:rsidR="002D43AE" w:rsidRDefault="002D43AE" w:rsidP="00557396">
      <w:pPr>
        <w:pStyle w:val="0Maintext"/>
        <w:spacing w:after="120" w:afterAutospacing="0" w:line="240" w:lineRule="auto"/>
        <w:ind w:firstLine="0"/>
        <w:rPr>
          <w:lang w:val="en-US" w:eastAsia="zh-CN"/>
        </w:rPr>
      </w:pPr>
    </w:p>
    <w:p w:rsidR="002D43AE" w:rsidRDefault="002D43AE" w:rsidP="00557396">
      <w:pPr>
        <w:pStyle w:val="0Maintext"/>
        <w:spacing w:after="120" w:afterAutospacing="0" w:line="240" w:lineRule="auto"/>
        <w:ind w:firstLine="0"/>
        <w:rPr>
          <w:lang w:val="en-US" w:eastAsia="zh-CN"/>
        </w:rPr>
      </w:pPr>
      <w:r>
        <w:rPr>
          <w:lang w:val="en-US" w:eastAsia="zh-CN"/>
        </w:rPr>
        <w:t xml:space="preserve">The RACH-based TA measurement should always be a valid way. The potential drawback is that it could require additional PRACH procedure. Therefore, it can be considered as a complimentary, e.g., fallback operation, if any RACH-less solution is not configured/enabled. </w:t>
      </w:r>
    </w:p>
    <w:p w:rsidR="00885435" w:rsidRDefault="002D43AE" w:rsidP="00557396">
      <w:pPr>
        <w:pStyle w:val="0Maintext"/>
        <w:spacing w:after="120" w:afterAutospacing="0" w:line="240" w:lineRule="auto"/>
        <w:ind w:firstLine="0"/>
        <w:rPr>
          <w:lang w:val="en-US" w:eastAsia="zh-CN"/>
        </w:rPr>
      </w:pPr>
      <w:r>
        <w:rPr>
          <w:lang w:val="en-US" w:eastAsia="zh-CN"/>
        </w:rPr>
        <w:t>For RACH-less solution, one possible way is the UE-autonomous TA measurement and update.</w:t>
      </w:r>
      <w:r w:rsidR="00BD2876">
        <w:rPr>
          <w:lang w:val="en-US" w:eastAsia="zh-CN"/>
        </w:rPr>
        <w:t xml:space="preserve"> </w:t>
      </w:r>
      <w:r>
        <w:rPr>
          <w:lang w:val="en-US" w:eastAsia="zh-CN"/>
        </w:rPr>
        <w:t>T</w:t>
      </w:r>
      <w:r w:rsidR="00BD2876">
        <w:rPr>
          <w:lang w:val="en-US" w:eastAsia="zh-CN"/>
        </w:rPr>
        <w:t>he UE can measure the TA based on downlink timing for downlink signals.</w:t>
      </w:r>
      <w:r w:rsidR="00812D24">
        <w:rPr>
          <w:lang w:val="en-US" w:eastAsia="zh-CN"/>
        </w:rPr>
        <w:t xml:space="preserve"> In this way, the UE needs to know </w:t>
      </w:r>
      <w:r w:rsidR="00037AFC">
        <w:rPr>
          <w:lang w:val="en-US" w:eastAsia="zh-CN"/>
        </w:rPr>
        <w:t>a first</w:t>
      </w:r>
      <w:r w:rsidR="00812D24">
        <w:rPr>
          <w:lang w:val="en-US" w:eastAsia="zh-CN"/>
        </w:rPr>
        <w:t xml:space="preserve"> TA for a first downlink signal, and the UE can measure the timing for a second downlink signal. Then by comparing the timing difference between the two downlink signals, the UE can obtain the propagation difference between the two downlink signals so that it can estimate the </w:t>
      </w:r>
      <w:r w:rsidR="00037AFC">
        <w:rPr>
          <w:lang w:val="en-US" w:eastAsia="zh-CN"/>
        </w:rPr>
        <w:t xml:space="preserve">second </w:t>
      </w:r>
      <w:r w:rsidR="00812D24">
        <w:rPr>
          <w:lang w:val="en-US" w:eastAsia="zh-CN"/>
        </w:rPr>
        <w:t xml:space="preserve">TA for the link with the same direction as the second downlink signal based on the </w:t>
      </w:r>
      <w:r w:rsidR="00037AFC">
        <w:rPr>
          <w:lang w:val="en-US" w:eastAsia="zh-CN"/>
        </w:rPr>
        <w:t xml:space="preserve">first </w:t>
      </w:r>
      <w:r w:rsidR="00812D24">
        <w:rPr>
          <w:lang w:val="en-US" w:eastAsia="zh-CN"/>
        </w:rPr>
        <w:t>TA from the first signal and timing difference between two signals.</w:t>
      </w:r>
      <w:r w:rsidR="00037AFC">
        <w:rPr>
          <w:lang w:val="en-US" w:eastAsia="zh-CN"/>
        </w:rPr>
        <w:t xml:space="preserve"> Such measurement should require the two downlink signals are well-synchronized. </w:t>
      </w:r>
      <w:r w:rsidR="00A2597F">
        <w:rPr>
          <w:lang w:val="en-US" w:eastAsia="zh-CN"/>
        </w:rPr>
        <w:t xml:space="preserve"> </w:t>
      </w:r>
    </w:p>
    <w:p w:rsidR="00885435" w:rsidRDefault="00A2597F" w:rsidP="00885435">
      <w:pPr>
        <w:pStyle w:val="0Maintext"/>
        <w:spacing w:after="120" w:afterAutospacing="0" w:line="240" w:lineRule="auto"/>
        <w:ind w:firstLine="0"/>
        <w:rPr>
          <w:lang w:val="en-US" w:eastAsia="zh-CN"/>
        </w:rPr>
      </w:pPr>
      <w:r>
        <w:rPr>
          <w:lang w:val="en-US" w:eastAsia="zh-CN"/>
        </w:rPr>
        <w:t>Figure 1 illustrates UE-based TA measurement.</w:t>
      </w:r>
      <w:r w:rsidR="00885435">
        <w:rPr>
          <w:lang w:val="en-US" w:eastAsia="zh-CN"/>
        </w:rPr>
        <w:t xml:space="preserve"> It can be observed that for well-synchronized cells, UE based TA measurement is possible. When the serving cell and target cell are well-synchronized, the UE can estimate the TA for uplink signal 2 to target cell based on the TA in serving cell and the timing difference between downlink signals from serving cell and target cell.</w:t>
      </w:r>
    </w:p>
    <w:p w:rsidR="00BD2876" w:rsidRDefault="00BD2876" w:rsidP="00557396">
      <w:pPr>
        <w:pStyle w:val="0Maintext"/>
        <w:spacing w:after="120" w:afterAutospacing="0" w:line="240" w:lineRule="auto"/>
        <w:ind w:firstLine="0"/>
        <w:rPr>
          <w:lang w:val="en-US" w:eastAsia="zh-CN"/>
        </w:rPr>
      </w:pPr>
    </w:p>
    <w:p w:rsidR="00A2597F" w:rsidRDefault="00AE6E81" w:rsidP="00A2597F">
      <w:pPr>
        <w:pStyle w:val="0Maintext"/>
        <w:spacing w:after="120" w:afterAutospacing="0" w:line="240" w:lineRule="auto"/>
        <w:ind w:firstLine="0"/>
        <w:jc w:val="center"/>
        <w:rPr>
          <w:lang w:val="en-US" w:eastAsia="zh-CN"/>
        </w:rPr>
      </w:pPr>
      <w:r w:rsidRPr="00AE6E81">
        <w:rPr>
          <w:noProof/>
          <w:lang w:val="en-US" w:eastAsia="zh-CN"/>
        </w:rPr>
        <w:lastRenderedPageBreak/>
        <w:drawing>
          <wp:inline distT="0" distB="0" distL="0" distR="0" wp14:anchorId="19B9BF4F" wp14:editId="70AEBF5C">
            <wp:extent cx="3997017" cy="39535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018725" cy="3975062"/>
                    </a:xfrm>
                    <a:prstGeom prst="rect">
                      <a:avLst/>
                    </a:prstGeom>
                  </pic:spPr>
                </pic:pic>
              </a:graphicData>
            </a:graphic>
          </wp:inline>
        </w:drawing>
      </w:r>
    </w:p>
    <w:p w:rsidR="00A2597F" w:rsidRPr="00A2597F" w:rsidRDefault="00A2597F" w:rsidP="00A2597F">
      <w:pPr>
        <w:pStyle w:val="0Maintext"/>
        <w:spacing w:after="120" w:afterAutospacing="0" w:line="240" w:lineRule="auto"/>
        <w:ind w:firstLine="0"/>
        <w:jc w:val="center"/>
        <w:rPr>
          <w:b/>
          <w:bCs/>
          <w:lang w:val="en-US" w:eastAsia="zh-CN"/>
        </w:rPr>
      </w:pPr>
      <w:r w:rsidRPr="00A2597F">
        <w:rPr>
          <w:b/>
          <w:bCs/>
          <w:lang w:val="en-US" w:eastAsia="zh-CN"/>
        </w:rPr>
        <w:t>Figure 1: UE-based TA measurement</w:t>
      </w:r>
    </w:p>
    <w:p w:rsidR="002D43AE" w:rsidRDefault="00885435" w:rsidP="00557396">
      <w:pPr>
        <w:pStyle w:val="0Maintext"/>
        <w:spacing w:after="120" w:afterAutospacing="0" w:line="240" w:lineRule="auto"/>
        <w:ind w:firstLine="0"/>
        <w:rPr>
          <w:lang w:val="en-US" w:eastAsia="zh-CN"/>
        </w:rPr>
      </w:pPr>
      <w:r>
        <w:rPr>
          <w:lang w:val="en-US" w:eastAsia="zh-CN"/>
        </w:rPr>
        <w:t xml:space="preserve">When the serving cell and target cell are not well synchronized, the UE-based TA measurement could be inaccurate, since the start timing for the DL signals for both cells could be quite different. </w:t>
      </w:r>
      <w:r w:rsidR="002D43AE">
        <w:rPr>
          <w:lang w:val="en-US" w:eastAsia="zh-CN"/>
        </w:rPr>
        <w:t>Then the RACH based solution can be used as a complimentary for TA measurement. For example, the gNB can use PDCCH-ordered PRACH for TA measurement.</w:t>
      </w:r>
    </w:p>
    <w:p w:rsidR="009847B9" w:rsidRPr="009847B9" w:rsidRDefault="009847B9" w:rsidP="00557396">
      <w:pPr>
        <w:pStyle w:val="0Maintext"/>
        <w:spacing w:after="120" w:afterAutospacing="0" w:line="240" w:lineRule="auto"/>
        <w:ind w:firstLine="0"/>
        <w:rPr>
          <w:b/>
          <w:bCs/>
          <w:i/>
          <w:iCs/>
          <w:lang w:val="en-US" w:eastAsia="zh-CN"/>
        </w:rPr>
      </w:pPr>
      <w:r w:rsidRPr="009847B9">
        <w:rPr>
          <w:b/>
          <w:bCs/>
          <w:i/>
          <w:iCs/>
          <w:lang w:val="en-US" w:eastAsia="zh-CN"/>
        </w:rPr>
        <w:t xml:space="preserve">Proposal </w:t>
      </w:r>
      <w:r w:rsidR="00F970AE">
        <w:rPr>
          <w:b/>
          <w:bCs/>
          <w:i/>
          <w:iCs/>
          <w:lang w:val="en-US" w:eastAsia="zh-CN"/>
        </w:rPr>
        <w:t>2</w:t>
      </w:r>
      <w:r w:rsidRPr="009847B9">
        <w:rPr>
          <w:b/>
          <w:bCs/>
          <w:i/>
          <w:iCs/>
          <w:lang w:val="en-US" w:eastAsia="zh-CN"/>
        </w:rPr>
        <w:t xml:space="preserve">: For TA measurement, </w:t>
      </w:r>
      <w:r w:rsidR="002D43AE">
        <w:rPr>
          <w:b/>
          <w:bCs/>
          <w:i/>
          <w:iCs/>
          <w:lang w:val="en-US" w:eastAsia="zh-CN"/>
        </w:rPr>
        <w:t>support UE-based TA measurement with UE-autonomous TA update</w:t>
      </w:r>
    </w:p>
    <w:p w:rsidR="002D43AE" w:rsidRPr="002D43AE" w:rsidRDefault="002D43AE" w:rsidP="002D43AE">
      <w:pPr>
        <w:pStyle w:val="0Maintext"/>
        <w:numPr>
          <w:ilvl w:val="0"/>
          <w:numId w:val="33"/>
        </w:numPr>
        <w:spacing w:after="120" w:afterAutospacing="0" w:line="240" w:lineRule="auto"/>
        <w:rPr>
          <w:b/>
          <w:bCs/>
          <w:i/>
          <w:iCs/>
          <w:lang w:val="en-US" w:eastAsia="zh-CN"/>
        </w:rPr>
      </w:pPr>
      <w:r>
        <w:rPr>
          <w:b/>
          <w:bCs/>
          <w:i/>
          <w:iCs/>
          <w:lang w:val="en-US" w:eastAsia="zh-CN"/>
        </w:rPr>
        <w:t>Support PDCCH-ordered P</w:t>
      </w:r>
      <w:r w:rsidR="00B56002">
        <w:rPr>
          <w:b/>
          <w:bCs/>
          <w:i/>
          <w:iCs/>
          <w:lang w:val="en-US" w:eastAsia="zh-CN"/>
        </w:rPr>
        <w:t>RA</w:t>
      </w:r>
      <w:r>
        <w:rPr>
          <w:b/>
          <w:bCs/>
          <w:i/>
          <w:iCs/>
          <w:lang w:val="en-US" w:eastAsia="zh-CN"/>
        </w:rPr>
        <w:t>CH as a complimentary solution</w:t>
      </w:r>
    </w:p>
    <w:p w:rsidR="002D43AE" w:rsidRPr="002D43AE" w:rsidRDefault="002D43AE" w:rsidP="002D43AE">
      <w:pPr>
        <w:pStyle w:val="0Maintext"/>
        <w:spacing w:after="120" w:afterAutospacing="0" w:line="240" w:lineRule="auto"/>
        <w:ind w:firstLine="0"/>
        <w:rPr>
          <w:lang w:val="en-US" w:eastAsia="zh-CN"/>
        </w:rPr>
      </w:pPr>
    </w:p>
    <w:p w:rsidR="009847B9" w:rsidRDefault="009847B9" w:rsidP="009847B9">
      <w:pPr>
        <w:pStyle w:val="Heading2"/>
      </w:pPr>
      <w:r>
        <w:t xml:space="preserve">TA </w:t>
      </w:r>
      <w:r w:rsidR="001D0F0A">
        <w:t>and candidate cell association</w:t>
      </w:r>
    </w:p>
    <w:p w:rsidR="0078316B" w:rsidRDefault="001D0F0A" w:rsidP="00557396">
      <w:pPr>
        <w:pStyle w:val="0Maintext"/>
        <w:spacing w:after="120" w:afterAutospacing="0" w:line="240" w:lineRule="auto"/>
        <w:ind w:firstLine="0"/>
        <w:rPr>
          <w:lang w:val="en-US"/>
        </w:rPr>
      </w:pPr>
      <w:r>
        <w:rPr>
          <w:lang w:val="en-US" w:eastAsia="zh-CN"/>
        </w:rPr>
        <w:t>For mobility, the UE does not need to maintain the communication with both source cell and target cell</w:t>
      </w:r>
      <w:r w:rsidR="00AE6E81">
        <w:rPr>
          <w:lang w:val="en-US"/>
        </w:rPr>
        <w:t>.</w:t>
      </w:r>
      <w:r>
        <w:rPr>
          <w:lang w:val="en-US"/>
        </w:rPr>
        <w:t xml:space="preserve"> Therefore, the UE only needs to maintain one TA and apply the TA when it starts to communicate with a cell. When the UE is communicating with the source cell, the network can indicate a TAC based on the TA measurement from a PRACH toward the source cell or the UE can autonomously update the TA. Similarly, when the UE is communicating with the target cell, the network can indicate a TAC based on the TA measurement from a PRACH toward the target cell or the UE can autonomously update the TA. Therefore, it is unnecessary to associate the TA with a candidate cell.</w:t>
      </w:r>
    </w:p>
    <w:p w:rsidR="00F970AE" w:rsidRPr="00AE6E81" w:rsidRDefault="00AE6E81" w:rsidP="00557396">
      <w:pPr>
        <w:pStyle w:val="0Maintext"/>
        <w:spacing w:after="120" w:afterAutospacing="0" w:line="240" w:lineRule="auto"/>
        <w:ind w:firstLine="0"/>
        <w:rPr>
          <w:b/>
          <w:bCs/>
          <w:i/>
          <w:iCs/>
          <w:lang w:val="en-US"/>
        </w:rPr>
      </w:pPr>
      <w:r w:rsidRPr="00AE6E81">
        <w:rPr>
          <w:b/>
          <w:bCs/>
          <w:i/>
          <w:iCs/>
          <w:lang w:val="en-US"/>
        </w:rPr>
        <w:t xml:space="preserve">Proposal 3: </w:t>
      </w:r>
      <w:r w:rsidR="001D0F0A">
        <w:rPr>
          <w:b/>
          <w:bCs/>
          <w:i/>
          <w:iCs/>
          <w:lang w:val="en-US"/>
        </w:rPr>
        <w:t>Do not support associating the TA with a candidate cell</w:t>
      </w:r>
      <w:r w:rsidRPr="00AE6E81">
        <w:rPr>
          <w:b/>
          <w:bCs/>
          <w:i/>
          <w:iCs/>
          <w:lang w:val="en-US"/>
        </w:rPr>
        <w:t>.</w:t>
      </w: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AE6E81">
        <w:rPr>
          <w:lang w:val="en-US" w:eastAsia="zh-CN"/>
        </w:rPr>
        <w:t>TA</w:t>
      </w:r>
      <w:r w:rsidR="00FD10E5">
        <w:rPr>
          <w:lang w:val="en-US" w:eastAsia="zh-CN"/>
        </w:rPr>
        <w:t xml:space="preserve"> enhancement for Rel-18 mobility enhancement</w:t>
      </w:r>
      <w:r>
        <w:rPr>
          <w:lang w:val="en-US" w:eastAsia="zh-CN"/>
        </w:rPr>
        <w:t>. Based on the discussion, the following proposals have been achieved.</w:t>
      </w:r>
    </w:p>
    <w:p w:rsidR="00AE6E81" w:rsidRPr="00F970AE" w:rsidRDefault="00AE6E81" w:rsidP="00AE6E81">
      <w:pPr>
        <w:pStyle w:val="0Maintext"/>
        <w:spacing w:after="120" w:afterAutospacing="0" w:line="240" w:lineRule="auto"/>
        <w:ind w:firstLine="0"/>
        <w:rPr>
          <w:b/>
          <w:bCs/>
          <w:i/>
          <w:iCs/>
          <w:lang w:val="en-US"/>
        </w:rPr>
      </w:pPr>
      <w:r w:rsidRPr="00F970AE">
        <w:rPr>
          <w:b/>
          <w:bCs/>
          <w:i/>
          <w:iCs/>
          <w:lang w:val="en-US"/>
        </w:rPr>
        <w:t xml:space="preserve">Proposal 1: TA management for NR mobility </w:t>
      </w:r>
      <w:r>
        <w:rPr>
          <w:b/>
          <w:bCs/>
          <w:i/>
          <w:iCs/>
          <w:lang w:val="en-US"/>
        </w:rPr>
        <w:t>shall</w:t>
      </w:r>
      <w:r w:rsidRPr="00F970AE">
        <w:rPr>
          <w:b/>
          <w:bCs/>
          <w:i/>
          <w:iCs/>
          <w:lang w:val="en-US"/>
        </w:rPr>
        <w:t xml:space="preserve"> not require more than 2 TAGs.</w:t>
      </w:r>
    </w:p>
    <w:p w:rsidR="001D0F0A" w:rsidRPr="009847B9" w:rsidRDefault="001D0F0A" w:rsidP="001D0F0A">
      <w:pPr>
        <w:pStyle w:val="0Maintext"/>
        <w:spacing w:after="120" w:afterAutospacing="0" w:line="240" w:lineRule="auto"/>
        <w:ind w:firstLine="0"/>
        <w:rPr>
          <w:b/>
          <w:bCs/>
          <w:i/>
          <w:iCs/>
          <w:lang w:val="en-US" w:eastAsia="zh-CN"/>
        </w:rPr>
      </w:pPr>
      <w:r w:rsidRPr="009847B9">
        <w:rPr>
          <w:b/>
          <w:bCs/>
          <w:i/>
          <w:iCs/>
          <w:lang w:val="en-US" w:eastAsia="zh-CN"/>
        </w:rPr>
        <w:t xml:space="preserve">Proposal </w:t>
      </w:r>
      <w:r>
        <w:rPr>
          <w:b/>
          <w:bCs/>
          <w:i/>
          <w:iCs/>
          <w:lang w:val="en-US" w:eastAsia="zh-CN"/>
        </w:rPr>
        <w:t>2</w:t>
      </w:r>
      <w:r w:rsidRPr="009847B9">
        <w:rPr>
          <w:b/>
          <w:bCs/>
          <w:i/>
          <w:iCs/>
          <w:lang w:val="en-US" w:eastAsia="zh-CN"/>
        </w:rPr>
        <w:t xml:space="preserve">: For TA measurement, </w:t>
      </w:r>
      <w:r>
        <w:rPr>
          <w:b/>
          <w:bCs/>
          <w:i/>
          <w:iCs/>
          <w:lang w:val="en-US" w:eastAsia="zh-CN"/>
        </w:rPr>
        <w:t>support UE-based TA measurement with UE-autonomous TA update</w:t>
      </w:r>
    </w:p>
    <w:p w:rsidR="001D0F0A" w:rsidRPr="001D0F0A" w:rsidRDefault="001D0F0A" w:rsidP="001D0F0A">
      <w:pPr>
        <w:pStyle w:val="0Maintext"/>
        <w:numPr>
          <w:ilvl w:val="0"/>
          <w:numId w:val="33"/>
        </w:numPr>
        <w:spacing w:after="120" w:afterAutospacing="0" w:line="240" w:lineRule="auto"/>
        <w:rPr>
          <w:b/>
          <w:bCs/>
          <w:i/>
          <w:iCs/>
          <w:lang w:val="en-US" w:eastAsia="zh-CN"/>
        </w:rPr>
      </w:pPr>
      <w:r>
        <w:rPr>
          <w:b/>
          <w:bCs/>
          <w:i/>
          <w:iCs/>
          <w:lang w:val="en-US" w:eastAsia="zh-CN"/>
        </w:rPr>
        <w:t>Support PDCCH-ordered P</w:t>
      </w:r>
      <w:r w:rsidR="00B56002">
        <w:rPr>
          <w:b/>
          <w:bCs/>
          <w:i/>
          <w:iCs/>
          <w:lang w:val="en-US" w:eastAsia="zh-CN"/>
        </w:rPr>
        <w:t>RA</w:t>
      </w:r>
      <w:r>
        <w:rPr>
          <w:b/>
          <w:bCs/>
          <w:i/>
          <w:iCs/>
          <w:lang w:val="en-US" w:eastAsia="zh-CN"/>
        </w:rPr>
        <w:t>CH as a complimentary solution</w:t>
      </w:r>
    </w:p>
    <w:p w:rsidR="001D0F0A" w:rsidRPr="00AE6E81" w:rsidRDefault="001D0F0A" w:rsidP="001D0F0A">
      <w:pPr>
        <w:pStyle w:val="0Maintext"/>
        <w:spacing w:after="120" w:afterAutospacing="0" w:line="240" w:lineRule="auto"/>
        <w:ind w:firstLine="0"/>
        <w:rPr>
          <w:b/>
          <w:bCs/>
          <w:i/>
          <w:iCs/>
          <w:lang w:val="en-US"/>
        </w:rPr>
      </w:pPr>
      <w:r w:rsidRPr="00AE6E81">
        <w:rPr>
          <w:b/>
          <w:bCs/>
          <w:i/>
          <w:iCs/>
          <w:lang w:val="en-US"/>
        </w:rPr>
        <w:lastRenderedPageBreak/>
        <w:t xml:space="preserve">Proposal 3: </w:t>
      </w:r>
      <w:r>
        <w:rPr>
          <w:b/>
          <w:bCs/>
          <w:i/>
          <w:iCs/>
          <w:lang w:val="en-US"/>
        </w:rPr>
        <w:t>Do not support associating the TA with a candidate cell</w:t>
      </w:r>
      <w:r w:rsidRPr="00AE6E81">
        <w:rPr>
          <w:b/>
          <w:bCs/>
          <w:i/>
          <w:iCs/>
          <w:lang w:val="en-US"/>
        </w:rPr>
        <w:t>.</w:t>
      </w:r>
    </w:p>
    <w:p w:rsidR="00AE6E81" w:rsidRPr="00AE6E81" w:rsidRDefault="00AE6E81" w:rsidP="001D0F0A">
      <w:pPr>
        <w:pStyle w:val="0Maintext"/>
        <w:spacing w:after="120" w:afterAutospacing="0" w:line="240" w:lineRule="auto"/>
        <w:ind w:firstLine="0"/>
        <w:rPr>
          <w:b/>
          <w:bCs/>
          <w:i/>
          <w:iCs/>
          <w:lang w:val="en-US"/>
        </w:rPr>
      </w:pPr>
    </w:p>
    <w:sectPr w:rsidR="00AE6E81" w:rsidRPr="00AE6E81"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9A5A76"/>
    <w:multiLevelType w:val="hybridMultilevel"/>
    <w:tmpl w:val="5C22F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741D7"/>
    <w:multiLevelType w:val="hybridMultilevel"/>
    <w:tmpl w:val="4F6AE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D4D4091"/>
    <w:multiLevelType w:val="hybridMultilevel"/>
    <w:tmpl w:val="7E1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8E2097"/>
    <w:multiLevelType w:val="hybridMultilevel"/>
    <w:tmpl w:val="CBA2C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79461E9"/>
    <w:multiLevelType w:val="hybridMultilevel"/>
    <w:tmpl w:val="DF0A3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2"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E7A6EE0"/>
    <w:multiLevelType w:val="hybridMultilevel"/>
    <w:tmpl w:val="ACE6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6F4491"/>
    <w:multiLevelType w:val="hybridMultilevel"/>
    <w:tmpl w:val="643CA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9970D6D"/>
    <w:multiLevelType w:val="hybridMultilevel"/>
    <w:tmpl w:val="1312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8E7B9C"/>
    <w:multiLevelType w:val="hybridMultilevel"/>
    <w:tmpl w:val="C1CEA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3C08CF"/>
    <w:multiLevelType w:val="hybridMultilevel"/>
    <w:tmpl w:val="5ECAF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2C276D"/>
    <w:multiLevelType w:val="hybridMultilevel"/>
    <w:tmpl w:val="6E30A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649679873">
    <w:abstractNumId w:val="0"/>
  </w:num>
  <w:num w:numId="2" w16cid:durableId="1047484111">
    <w:abstractNumId w:val="16"/>
  </w:num>
  <w:num w:numId="3" w16cid:durableId="1291010930">
    <w:abstractNumId w:val="23"/>
  </w:num>
  <w:num w:numId="4" w16cid:durableId="1095134973">
    <w:abstractNumId w:val="21"/>
  </w:num>
  <w:num w:numId="5" w16cid:durableId="1641223975">
    <w:abstractNumId w:val="13"/>
  </w:num>
  <w:num w:numId="6" w16cid:durableId="564610010">
    <w:abstractNumId w:val="26"/>
  </w:num>
  <w:num w:numId="7" w16cid:durableId="577132295">
    <w:abstractNumId w:val="7"/>
  </w:num>
  <w:num w:numId="8" w16cid:durableId="617444232">
    <w:abstractNumId w:val="12"/>
  </w:num>
  <w:num w:numId="9" w16cid:durableId="1741826848">
    <w:abstractNumId w:val="19"/>
  </w:num>
  <w:num w:numId="10" w16cid:durableId="204176157">
    <w:abstractNumId w:val="29"/>
  </w:num>
  <w:num w:numId="11" w16cid:durableId="2075464340">
    <w:abstractNumId w:val="35"/>
  </w:num>
  <w:num w:numId="12" w16cid:durableId="134567778">
    <w:abstractNumId w:val="14"/>
  </w:num>
  <w:num w:numId="13" w16cid:durableId="1036003743">
    <w:abstractNumId w:val="25"/>
  </w:num>
  <w:num w:numId="14" w16cid:durableId="1516190854">
    <w:abstractNumId w:val="6"/>
  </w:num>
  <w:num w:numId="15" w16cid:durableId="667904329">
    <w:abstractNumId w:val="34"/>
  </w:num>
  <w:num w:numId="16" w16cid:durableId="749228951">
    <w:abstractNumId w:val="30"/>
  </w:num>
  <w:num w:numId="17" w16cid:durableId="654139330">
    <w:abstractNumId w:val="31"/>
  </w:num>
  <w:num w:numId="18" w16cid:durableId="37442205">
    <w:abstractNumId w:val="24"/>
  </w:num>
  <w:num w:numId="19" w16cid:durableId="452796089">
    <w:abstractNumId w:val="23"/>
  </w:num>
  <w:num w:numId="20" w16cid:durableId="947349516">
    <w:abstractNumId w:val="15"/>
  </w:num>
  <w:num w:numId="21" w16cid:durableId="123163289">
    <w:abstractNumId w:val="9"/>
  </w:num>
  <w:num w:numId="22" w16cid:durableId="892035091">
    <w:abstractNumId w:val="8"/>
  </w:num>
  <w:num w:numId="23" w16cid:durableId="1978486">
    <w:abstractNumId w:val="4"/>
  </w:num>
  <w:num w:numId="24" w16cid:durableId="1452360992">
    <w:abstractNumId w:val="11"/>
  </w:num>
  <w:num w:numId="25" w16cid:durableId="501893973">
    <w:abstractNumId w:val="18"/>
  </w:num>
  <w:num w:numId="26" w16cid:durableId="766006395">
    <w:abstractNumId w:val="1"/>
  </w:num>
  <w:num w:numId="27" w16cid:durableId="878904140">
    <w:abstractNumId w:val="27"/>
  </w:num>
  <w:num w:numId="28" w16cid:durableId="905073282">
    <w:abstractNumId w:val="5"/>
  </w:num>
  <w:num w:numId="29" w16cid:durableId="81534500">
    <w:abstractNumId w:val="2"/>
  </w:num>
  <w:num w:numId="30" w16cid:durableId="2106489978">
    <w:abstractNumId w:val="10"/>
  </w:num>
  <w:num w:numId="31" w16cid:durableId="1958951890">
    <w:abstractNumId w:val="17"/>
  </w:num>
  <w:num w:numId="32" w16cid:durableId="1670133709">
    <w:abstractNumId w:val="32"/>
  </w:num>
  <w:num w:numId="33" w16cid:durableId="974799008">
    <w:abstractNumId w:val="3"/>
  </w:num>
  <w:num w:numId="34" w16cid:durableId="1594782617">
    <w:abstractNumId w:val="33"/>
  </w:num>
  <w:num w:numId="35" w16cid:durableId="772634250">
    <w:abstractNumId w:val="20"/>
  </w:num>
  <w:num w:numId="36" w16cid:durableId="1255553263">
    <w:abstractNumId w:val="22"/>
  </w:num>
  <w:num w:numId="37" w16cid:durableId="1658681101">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37AFC"/>
    <w:rsid w:val="00037C8D"/>
    <w:rsid w:val="000A1909"/>
    <w:rsid w:val="000A60ED"/>
    <w:rsid w:val="00105DE0"/>
    <w:rsid w:val="00122C70"/>
    <w:rsid w:val="0015468B"/>
    <w:rsid w:val="00167245"/>
    <w:rsid w:val="001922F1"/>
    <w:rsid w:val="001A55AA"/>
    <w:rsid w:val="001D0F0A"/>
    <w:rsid w:val="001D3923"/>
    <w:rsid w:val="001D7163"/>
    <w:rsid w:val="001E1D5D"/>
    <w:rsid w:val="001E4CFE"/>
    <w:rsid w:val="001F1EBF"/>
    <w:rsid w:val="00223C15"/>
    <w:rsid w:val="00226209"/>
    <w:rsid w:val="00253282"/>
    <w:rsid w:val="002548E6"/>
    <w:rsid w:val="00275881"/>
    <w:rsid w:val="00281CF7"/>
    <w:rsid w:val="002D43AE"/>
    <w:rsid w:val="002D719B"/>
    <w:rsid w:val="00303A87"/>
    <w:rsid w:val="0030732C"/>
    <w:rsid w:val="00330D34"/>
    <w:rsid w:val="00346E6B"/>
    <w:rsid w:val="00356E4B"/>
    <w:rsid w:val="00375357"/>
    <w:rsid w:val="003976BE"/>
    <w:rsid w:val="003C00AB"/>
    <w:rsid w:val="003D2036"/>
    <w:rsid w:val="003D4627"/>
    <w:rsid w:val="003F4028"/>
    <w:rsid w:val="00417C58"/>
    <w:rsid w:val="00431006"/>
    <w:rsid w:val="00431501"/>
    <w:rsid w:val="00431BE9"/>
    <w:rsid w:val="00477892"/>
    <w:rsid w:val="00491EBA"/>
    <w:rsid w:val="004951DA"/>
    <w:rsid w:val="004B588D"/>
    <w:rsid w:val="004C65E3"/>
    <w:rsid w:val="004F16E8"/>
    <w:rsid w:val="0050593E"/>
    <w:rsid w:val="00557396"/>
    <w:rsid w:val="005635BB"/>
    <w:rsid w:val="005A2726"/>
    <w:rsid w:val="005B55AC"/>
    <w:rsid w:val="00606763"/>
    <w:rsid w:val="0061491E"/>
    <w:rsid w:val="00640857"/>
    <w:rsid w:val="00660865"/>
    <w:rsid w:val="00687F40"/>
    <w:rsid w:val="006A5206"/>
    <w:rsid w:val="006E53C6"/>
    <w:rsid w:val="006F4725"/>
    <w:rsid w:val="0074495C"/>
    <w:rsid w:val="007520FE"/>
    <w:rsid w:val="00763A34"/>
    <w:rsid w:val="00781DD5"/>
    <w:rsid w:val="0078316B"/>
    <w:rsid w:val="00792998"/>
    <w:rsid w:val="007A63FA"/>
    <w:rsid w:val="007C2BB2"/>
    <w:rsid w:val="007F3937"/>
    <w:rsid w:val="00812D24"/>
    <w:rsid w:val="00826E9C"/>
    <w:rsid w:val="008443A3"/>
    <w:rsid w:val="008766FE"/>
    <w:rsid w:val="00885435"/>
    <w:rsid w:val="008864BC"/>
    <w:rsid w:val="008A6337"/>
    <w:rsid w:val="008C065D"/>
    <w:rsid w:val="008D04EC"/>
    <w:rsid w:val="008D4BCD"/>
    <w:rsid w:val="008E42B2"/>
    <w:rsid w:val="008E7132"/>
    <w:rsid w:val="00905082"/>
    <w:rsid w:val="00906A9A"/>
    <w:rsid w:val="00911EEF"/>
    <w:rsid w:val="00914B21"/>
    <w:rsid w:val="00922457"/>
    <w:rsid w:val="009366FD"/>
    <w:rsid w:val="00953F61"/>
    <w:rsid w:val="009847B9"/>
    <w:rsid w:val="009B0A18"/>
    <w:rsid w:val="009C1B6C"/>
    <w:rsid w:val="009C1CAB"/>
    <w:rsid w:val="009D0133"/>
    <w:rsid w:val="009E3DB7"/>
    <w:rsid w:val="009E5063"/>
    <w:rsid w:val="009F2D93"/>
    <w:rsid w:val="009F6087"/>
    <w:rsid w:val="00A17BEA"/>
    <w:rsid w:val="00A2597F"/>
    <w:rsid w:val="00A316C9"/>
    <w:rsid w:val="00A42238"/>
    <w:rsid w:val="00A448D2"/>
    <w:rsid w:val="00A90297"/>
    <w:rsid w:val="00A93065"/>
    <w:rsid w:val="00AA2E73"/>
    <w:rsid w:val="00AC0A67"/>
    <w:rsid w:val="00AD4009"/>
    <w:rsid w:val="00AE467A"/>
    <w:rsid w:val="00AE6E81"/>
    <w:rsid w:val="00B01671"/>
    <w:rsid w:val="00B02C9F"/>
    <w:rsid w:val="00B1188E"/>
    <w:rsid w:val="00B3722D"/>
    <w:rsid w:val="00B56002"/>
    <w:rsid w:val="00B71A0E"/>
    <w:rsid w:val="00B8306C"/>
    <w:rsid w:val="00B93343"/>
    <w:rsid w:val="00BA48C8"/>
    <w:rsid w:val="00BD2876"/>
    <w:rsid w:val="00BD6CCE"/>
    <w:rsid w:val="00BE15BB"/>
    <w:rsid w:val="00C031C3"/>
    <w:rsid w:val="00C03A21"/>
    <w:rsid w:val="00C04D65"/>
    <w:rsid w:val="00C10D36"/>
    <w:rsid w:val="00C132FE"/>
    <w:rsid w:val="00C1419D"/>
    <w:rsid w:val="00C27E72"/>
    <w:rsid w:val="00C42331"/>
    <w:rsid w:val="00C46EAA"/>
    <w:rsid w:val="00C63FD7"/>
    <w:rsid w:val="00C9103E"/>
    <w:rsid w:val="00C9405F"/>
    <w:rsid w:val="00CB1727"/>
    <w:rsid w:val="00CC1F22"/>
    <w:rsid w:val="00CC66DF"/>
    <w:rsid w:val="00CF6D54"/>
    <w:rsid w:val="00D0763A"/>
    <w:rsid w:val="00D13E1E"/>
    <w:rsid w:val="00D1450B"/>
    <w:rsid w:val="00D4326F"/>
    <w:rsid w:val="00D518D9"/>
    <w:rsid w:val="00D542B4"/>
    <w:rsid w:val="00D616A3"/>
    <w:rsid w:val="00D719D5"/>
    <w:rsid w:val="00D734BD"/>
    <w:rsid w:val="00D97433"/>
    <w:rsid w:val="00DA2FD9"/>
    <w:rsid w:val="00DA6558"/>
    <w:rsid w:val="00DC01E8"/>
    <w:rsid w:val="00DE426C"/>
    <w:rsid w:val="00DE5690"/>
    <w:rsid w:val="00DE5A5E"/>
    <w:rsid w:val="00E03851"/>
    <w:rsid w:val="00E07A91"/>
    <w:rsid w:val="00E2699B"/>
    <w:rsid w:val="00E5119B"/>
    <w:rsid w:val="00E551FD"/>
    <w:rsid w:val="00E56179"/>
    <w:rsid w:val="00E6265E"/>
    <w:rsid w:val="00E66145"/>
    <w:rsid w:val="00E80A0E"/>
    <w:rsid w:val="00E8201B"/>
    <w:rsid w:val="00E83DAE"/>
    <w:rsid w:val="00E84E4F"/>
    <w:rsid w:val="00EB152A"/>
    <w:rsid w:val="00EF1059"/>
    <w:rsid w:val="00F27C7C"/>
    <w:rsid w:val="00F31ED8"/>
    <w:rsid w:val="00F81399"/>
    <w:rsid w:val="00F92E33"/>
    <w:rsid w:val="00F935AD"/>
    <w:rsid w:val="00F970AE"/>
    <w:rsid w:val="00FA0EF5"/>
    <w:rsid w:val="00FD10E5"/>
    <w:rsid w:val="00FE068C"/>
    <w:rsid w:val="00FF2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687B0"/>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rsid w:val="00E07A91"/>
    <w:rPr>
      <w:rFonts w:ascii="Calibri" w:eastAsia="Malgun Gothic" w:hAnsi="Calibri" w:cs="Calibri"/>
      <w:sz w:val="22"/>
      <w:szCs w:val="22"/>
      <w:lang w:eastAsia="ko-KR"/>
    </w:rPr>
  </w:style>
  <w:style w:type="character" w:customStyle="1" w:styleId="listauto1Char">
    <w:name w:val="list auto 1 Char"/>
    <w:link w:val="listauto1"/>
    <w:locked/>
    <w:rsid w:val="00A93065"/>
    <w:rPr>
      <w:rFonts w:ascii="SimSun" w:eastAsia="SimSun" w:hAnsi="SimSun"/>
      <w:b/>
      <w:bCs/>
      <w:lang w:eastAsia="en-US"/>
    </w:rPr>
  </w:style>
  <w:style w:type="paragraph" w:customStyle="1" w:styleId="listauto1">
    <w:name w:val="list auto 1"/>
    <w:basedOn w:val="Normal"/>
    <w:link w:val="listauto1Char"/>
    <w:rsid w:val="00A93065"/>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A93065"/>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customStyle="1" w:styleId="TAC">
    <w:name w:val="TAC"/>
    <w:basedOn w:val="TAL"/>
    <w:link w:val="TACChar"/>
    <w:qFormat/>
    <w:rsid w:val="00EB152A"/>
    <w:pPr>
      <w:jc w:val="center"/>
    </w:pPr>
    <w:rPr>
      <w:rFonts w:eastAsia="Times New Roman"/>
    </w:rPr>
  </w:style>
  <w:style w:type="character" w:customStyle="1" w:styleId="TACChar">
    <w:name w:val="TAC Char"/>
    <w:link w:val="TAC"/>
    <w:qFormat/>
    <w:locked/>
    <w:rsid w:val="00EB152A"/>
    <w:rPr>
      <w:rFonts w:ascii="Arial" w:eastAsia="Times New Roman" w:hAnsi="Arial" w:cs="Times New Roman"/>
      <w:sz w:val="18"/>
      <w:szCs w:val="20"/>
      <w:lang w:val="en-GB" w:eastAsia="en-US"/>
    </w:rPr>
  </w:style>
  <w:style w:type="paragraph" w:styleId="BodyText">
    <w:name w:val="Body Text"/>
    <w:aliases w:val="bt"/>
    <w:basedOn w:val="Normal"/>
    <w:link w:val="BodyTextChar"/>
    <w:rsid w:val="00330D3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rsid w:val="00330D34"/>
    <w:rPr>
      <w:rFonts w:ascii="Times" w:eastAsia="Batang" w:hAnsi="Times" w:cs="Times New Roman"/>
      <w:sz w:val="20"/>
      <w:szCs w:val="24"/>
      <w:lang w:val="en-GB" w:eastAsia="x-none"/>
    </w:rPr>
  </w:style>
  <w:style w:type="paragraph" w:customStyle="1" w:styleId="bodytext0">
    <w:name w:val="bodytext"/>
    <w:basedOn w:val="Normal"/>
    <w:uiPriority w:val="99"/>
    <w:rsid w:val="00906A9A"/>
    <w:pPr>
      <w:spacing w:before="100" w:beforeAutospacing="1" w:after="100" w:afterAutospacing="1"/>
    </w:pPr>
    <w:rPr>
      <w:rFonts w:ascii="Gulim" w:eastAsia="Gulim" w:hAnsi="Gulim"/>
      <w:lang w:eastAsia="ko-KR"/>
    </w:rPr>
  </w:style>
  <w:style w:type="paragraph" w:customStyle="1" w:styleId="mc-p">
    <w:name w:val="mc-p___"/>
    <w:basedOn w:val="Normal"/>
    <w:rsid w:val="00906A9A"/>
    <w:pPr>
      <w:spacing w:before="100" w:beforeAutospacing="1" w:after="100" w:afterAutospacing="1"/>
    </w:pPr>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4</Pages>
  <Words>909</Words>
  <Characters>5186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6083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6</cp:revision>
  <dcterms:created xsi:type="dcterms:W3CDTF">2022-10-31T02:34:00Z</dcterms:created>
  <dcterms:modified xsi:type="dcterms:W3CDTF">2022-11-02T03:19:00Z</dcterms:modified>
</cp:coreProperties>
</file>